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45A" w:rsidRPr="0036045A" w:rsidRDefault="00CF7658" w:rsidP="003A2F68">
      <w:pPr>
        <w:rPr>
          <w:b/>
          <w:sz w:val="24"/>
        </w:rPr>
      </w:pPr>
      <w:r>
        <w:rPr>
          <w:b/>
          <w:sz w:val="24"/>
        </w:rPr>
        <w:t>Binary Options</w:t>
      </w:r>
      <w:r w:rsidR="00B16F08">
        <w:rPr>
          <w:b/>
          <w:sz w:val="24"/>
        </w:rPr>
        <w:t xml:space="preserve"> </w:t>
      </w:r>
      <w:r w:rsidR="00AB3F92">
        <w:rPr>
          <w:b/>
          <w:sz w:val="24"/>
        </w:rPr>
        <w:t>Magnet Manual System</w:t>
      </w:r>
      <w:bookmarkStart w:id="0" w:name="_GoBack"/>
      <w:bookmarkEnd w:id="0"/>
      <w:r w:rsidR="00881166">
        <w:rPr>
          <w:b/>
          <w:sz w:val="24"/>
        </w:rPr>
        <w:t>: Trading</w:t>
      </w:r>
      <w:r w:rsidR="0059280E">
        <w:rPr>
          <w:b/>
          <w:sz w:val="24"/>
        </w:rPr>
        <w:t xml:space="preserve"> Triangles</w:t>
      </w:r>
    </w:p>
    <w:p w:rsidR="00741078" w:rsidRDefault="00741078" w:rsidP="001F7A64">
      <w:pPr>
        <w:jc w:val="both"/>
        <w:rPr>
          <w:sz w:val="24"/>
        </w:rPr>
      </w:pPr>
      <w:r>
        <w:rPr>
          <w:sz w:val="24"/>
        </w:rPr>
        <w:t xml:space="preserve">How can triangles be used in binary options trading? </w:t>
      </w:r>
    </w:p>
    <w:p w:rsidR="00E6687D" w:rsidRDefault="0059280E" w:rsidP="001F7A64">
      <w:pPr>
        <w:jc w:val="both"/>
        <w:rPr>
          <w:sz w:val="24"/>
        </w:rPr>
      </w:pPr>
      <w:r>
        <w:rPr>
          <w:sz w:val="24"/>
        </w:rPr>
        <w:t>There are three types of triangle patterns:</w:t>
      </w:r>
    </w:p>
    <w:p w:rsidR="0059280E" w:rsidRDefault="0059280E" w:rsidP="0059280E">
      <w:pPr>
        <w:pStyle w:val="ListParagraph"/>
        <w:numPr>
          <w:ilvl w:val="0"/>
          <w:numId w:val="11"/>
        </w:numPr>
        <w:jc w:val="both"/>
        <w:rPr>
          <w:sz w:val="24"/>
        </w:rPr>
      </w:pPr>
      <w:r>
        <w:rPr>
          <w:sz w:val="24"/>
        </w:rPr>
        <w:t>Ascending triangles</w:t>
      </w:r>
    </w:p>
    <w:p w:rsidR="0059280E" w:rsidRDefault="0059280E" w:rsidP="0059280E">
      <w:pPr>
        <w:pStyle w:val="ListParagraph"/>
        <w:numPr>
          <w:ilvl w:val="0"/>
          <w:numId w:val="11"/>
        </w:numPr>
        <w:jc w:val="both"/>
        <w:rPr>
          <w:sz w:val="24"/>
        </w:rPr>
      </w:pPr>
      <w:r>
        <w:rPr>
          <w:sz w:val="24"/>
        </w:rPr>
        <w:t>Descending triangles</w:t>
      </w:r>
    </w:p>
    <w:p w:rsidR="0059280E" w:rsidRDefault="0059280E" w:rsidP="0059280E">
      <w:pPr>
        <w:pStyle w:val="ListParagraph"/>
        <w:numPr>
          <w:ilvl w:val="0"/>
          <w:numId w:val="11"/>
        </w:numPr>
        <w:jc w:val="both"/>
        <w:rPr>
          <w:sz w:val="24"/>
        </w:rPr>
      </w:pPr>
      <w:r>
        <w:rPr>
          <w:sz w:val="24"/>
        </w:rPr>
        <w:t>Symmetrical triangles</w:t>
      </w:r>
    </w:p>
    <w:p w:rsidR="0059280E" w:rsidRDefault="0059280E" w:rsidP="0059280E">
      <w:pPr>
        <w:jc w:val="both"/>
        <w:rPr>
          <w:sz w:val="24"/>
        </w:rPr>
      </w:pPr>
      <w:r>
        <w:rPr>
          <w:sz w:val="24"/>
        </w:rPr>
        <w:t>In an ascending triangle, the candlesticks make progressively higher lows while maintaining about the same candle highs, signifying the gradual waning of selling pressure. Two lines drawn over the price highs and lows will show a horizontal resistance and a gradually ascending line of support which rises to meet the horizontal resistance to form the ascending triangle. The expected result is as follows:</w:t>
      </w:r>
    </w:p>
    <w:p w:rsidR="0059280E" w:rsidRDefault="0059280E" w:rsidP="0059280E">
      <w:pPr>
        <w:pStyle w:val="ListParagraph"/>
        <w:numPr>
          <w:ilvl w:val="0"/>
          <w:numId w:val="12"/>
        </w:numPr>
        <w:jc w:val="both"/>
        <w:rPr>
          <w:sz w:val="24"/>
        </w:rPr>
      </w:pPr>
      <w:r>
        <w:rPr>
          <w:sz w:val="24"/>
        </w:rPr>
        <w:t>A bullish break of horizontal resistance</w:t>
      </w:r>
    </w:p>
    <w:p w:rsidR="0059280E" w:rsidRDefault="0059280E" w:rsidP="0059280E">
      <w:pPr>
        <w:pStyle w:val="ListParagraph"/>
        <w:numPr>
          <w:ilvl w:val="0"/>
          <w:numId w:val="12"/>
        </w:numPr>
        <w:jc w:val="both"/>
        <w:rPr>
          <w:sz w:val="24"/>
        </w:rPr>
      </w:pPr>
      <w:r>
        <w:rPr>
          <w:sz w:val="24"/>
        </w:rPr>
        <w:t>Prices expected to move higher</w:t>
      </w:r>
    </w:p>
    <w:p w:rsidR="0059280E" w:rsidRDefault="0059280E" w:rsidP="0059280E">
      <w:pPr>
        <w:pStyle w:val="ListParagraph"/>
        <w:numPr>
          <w:ilvl w:val="0"/>
          <w:numId w:val="12"/>
        </w:numPr>
        <w:jc w:val="both"/>
        <w:rPr>
          <w:sz w:val="24"/>
        </w:rPr>
      </w:pPr>
      <w:r>
        <w:rPr>
          <w:sz w:val="24"/>
        </w:rPr>
        <w:t>Prices not expected to move lower</w:t>
      </w:r>
    </w:p>
    <w:p w:rsidR="0059280E" w:rsidRDefault="0059280E" w:rsidP="0059280E">
      <w:pPr>
        <w:jc w:val="both"/>
        <w:rPr>
          <w:sz w:val="24"/>
        </w:rPr>
      </w:pPr>
      <w:r>
        <w:rPr>
          <w:sz w:val="24"/>
        </w:rPr>
        <w:t>A descending triangle is formed by progressively lower highs pushing towards static lows, signifying a gradual waning of buying pressure. Two lines drawn over the price lows and highs will show a gradually falling resistance, pushing lower to meet the horizontal support to form the boundaries of the descending triangle. The expected result is as follows:</w:t>
      </w:r>
    </w:p>
    <w:p w:rsidR="0059280E" w:rsidRDefault="0059280E" w:rsidP="0059280E">
      <w:pPr>
        <w:pStyle w:val="ListParagraph"/>
        <w:numPr>
          <w:ilvl w:val="0"/>
          <w:numId w:val="12"/>
        </w:numPr>
        <w:jc w:val="both"/>
        <w:rPr>
          <w:sz w:val="24"/>
        </w:rPr>
      </w:pPr>
      <w:r>
        <w:rPr>
          <w:sz w:val="24"/>
        </w:rPr>
        <w:t>A bearish breakout; prices expected to move lower</w:t>
      </w:r>
    </w:p>
    <w:p w:rsidR="0059280E" w:rsidRDefault="0059280E" w:rsidP="0059280E">
      <w:pPr>
        <w:pStyle w:val="ListParagraph"/>
        <w:numPr>
          <w:ilvl w:val="0"/>
          <w:numId w:val="12"/>
        </w:numPr>
        <w:jc w:val="both"/>
        <w:rPr>
          <w:sz w:val="24"/>
        </w:rPr>
      </w:pPr>
      <w:r>
        <w:rPr>
          <w:sz w:val="24"/>
        </w:rPr>
        <w:t>Prices not expected to move higher</w:t>
      </w:r>
    </w:p>
    <w:p w:rsidR="0059280E" w:rsidRDefault="000D60CA" w:rsidP="0059280E">
      <w:pPr>
        <w:jc w:val="both"/>
        <w:rPr>
          <w:sz w:val="24"/>
        </w:rPr>
      </w:pPr>
      <w:r>
        <w:rPr>
          <w:sz w:val="24"/>
        </w:rPr>
        <w:t>A symmetrical triangle is formed by progressively lower highs and higher lows, indicating that there is indecision between buyers and sellers. So we have a falling line converging with a rising line to form the boundaries of a symmetrical triangle.</w:t>
      </w:r>
    </w:p>
    <w:p w:rsidR="000D60CA" w:rsidRDefault="000D60CA" w:rsidP="000D60CA">
      <w:pPr>
        <w:pStyle w:val="ListParagraph"/>
        <w:numPr>
          <w:ilvl w:val="0"/>
          <w:numId w:val="12"/>
        </w:numPr>
        <w:jc w:val="both"/>
        <w:rPr>
          <w:sz w:val="24"/>
        </w:rPr>
      </w:pPr>
      <w:r>
        <w:rPr>
          <w:sz w:val="24"/>
        </w:rPr>
        <w:t xml:space="preserve">Expected result: price could move higher or lower, depending on which sentiment eventually prevails. </w:t>
      </w:r>
    </w:p>
    <w:p w:rsidR="000D60CA" w:rsidRDefault="000D60CA" w:rsidP="000D60CA">
      <w:pPr>
        <w:jc w:val="both"/>
        <w:rPr>
          <w:sz w:val="24"/>
        </w:rPr>
      </w:pPr>
      <w:r>
        <w:rPr>
          <w:sz w:val="24"/>
        </w:rPr>
        <w:t xml:space="preserve">Now that we know what happens to the price action when these triangles form, </w:t>
      </w:r>
      <w:r w:rsidR="00741078">
        <w:rPr>
          <w:sz w:val="24"/>
        </w:rPr>
        <w:t>how does a</w:t>
      </w:r>
      <w:r>
        <w:rPr>
          <w:sz w:val="24"/>
        </w:rPr>
        <w:t xml:space="preserve"> trade</w:t>
      </w:r>
      <w:r w:rsidR="00741078">
        <w:rPr>
          <w:sz w:val="24"/>
        </w:rPr>
        <w:t>r use</w:t>
      </w:r>
      <w:r>
        <w:rPr>
          <w:sz w:val="24"/>
        </w:rPr>
        <w:t xml:space="preserve"> the triangle continuation patterns</w:t>
      </w:r>
      <w:r w:rsidR="00741078">
        <w:rPr>
          <w:sz w:val="24"/>
        </w:rPr>
        <w:t xml:space="preserve"> in binary options trading</w:t>
      </w:r>
      <w:r>
        <w:rPr>
          <w:sz w:val="24"/>
        </w:rPr>
        <w:t>?</w:t>
      </w:r>
    </w:p>
    <w:p w:rsidR="000D60CA" w:rsidRPr="000D60CA" w:rsidRDefault="000D60CA" w:rsidP="000D60CA">
      <w:pPr>
        <w:jc w:val="both"/>
        <w:rPr>
          <w:b/>
          <w:sz w:val="24"/>
        </w:rPr>
      </w:pPr>
      <w:r w:rsidRPr="000D60CA">
        <w:rPr>
          <w:b/>
          <w:sz w:val="24"/>
        </w:rPr>
        <w:t>Ascending Triangle</w:t>
      </w:r>
    </w:p>
    <w:p w:rsidR="000D60CA" w:rsidRDefault="000D60CA" w:rsidP="000D60CA">
      <w:pPr>
        <w:jc w:val="both"/>
        <w:rPr>
          <w:sz w:val="24"/>
        </w:rPr>
      </w:pPr>
      <w:r>
        <w:rPr>
          <w:sz w:val="24"/>
        </w:rPr>
        <w:t>You can trade the following binary options trade types with the ascending triangle:</w:t>
      </w:r>
    </w:p>
    <w:p w:rsidR="000D60CA" w:rsidRDefault="000D60CA" w:rsidP="000D60CA">
      <w:pPr>
        <w:pStyle w:val="ListParagraph"/>
        <w:numPr>
          <w:ilvl w:val="0"/>
          <w:numId w:val="13"/>
        </w:numPr>
        <w:jc w:val="both"/>
        <w:rPr>
          <w:sz w:val="24"/>
        </w:rPr>
      </w:pPr>
      <w:r>
        <w:rPr>
          <w:sz w:val="24"/>
        </w:rPr>
        <w:t xml:space="preserve">UP (Up/Down on </w:t>
      </w:r>
      <w:proofErr w:type="spellStart"/>
      <w:r>
        <w:rPr>
          <w:sz w:val="24"/>
        </w:rPr>
        <w:t>SpotOption</w:t>
      </w:r>
      <w:proofErr w:type="spellEnd"/>
      <w:r>
        <w:rPr>
          <w:sz w:val="24"/>
        </w:rPr>
        <w:t xml:space="preserve"> partner brokers), RISE (rise/fall on </w:t>
      </w:r>
      <w:proofErr w:type="spellStart"/>
      <w:r>
        <w:rPr>
          <w:sz w:val="24"/>
        </w:rPr>
        <w:t>Betonmarkets</w:t>
      </w:r>
      <w:proofErr w:type="spellEnd"/>
      <w:r>
        <w:rPr>
          <w:sz w:val="24"/>
        </w:rPr>
        <w:t xml:space="preserve">), HIGH (high/low on Tech Financial partner brokers) or ABOVE (above/below). Use </w:t>
      </w:r>
      <w:r w:rsidR="003D3580">
        <w:rPr>
          <w:sz w:val="24"/>
        </w:rPr>
        <w:t>the market price as</w:t>
      </w:r>
      <w:r>
        <w:rPr>
          <w:sz w:val="24"/>
        </w:rPr>
        <w:t xml:space="preserve"> strike price</w:t>
      </w:r>
      <w:r w:rsidR="003D3580">
        <w:rPr>
          <w:sz w:val="24"/>
        </w:rPr>
        <w:t xml:space="preserve"> (Rise/Fall) or a strike price</w:t>
      </w:r>
      <w:r>
        <w:rPr>
          <w:sz w:val="24"/>
        </w:rPr>
        <w:t xml:space="preserve"> that is above the market price</w:t>
      </w:r>
      <w:r w:rsidR="003D3580">
        <w:rPr>
          <w:sz w:val="24"/>
        </w:rPr>
        <w:t xml:space="preserve">. In both situations, </w:t>
      </w:r>
      <w:r>
        <w:rPr>
          <w:sz w:val="24"/>
        </w:rPr>
        <w:t xml:space="preserve">the price </w:t>
      </w:r>
      <w:r w:rsidR="00881166">
        <w:rPr>
          <w:sz w:val="24"/>
        </w:rPr>
        <w:t xml:space="preserve">of the asset </w:t>
      </w:r>
      <w:r w:rsidR="003D3580">
        <w:rPr>
          <w:sz w:val="24"/>
        </w:rPr>
        <w:t>should be</w:t>
      </w:r>
      <w:r>
        <w:rPr>
          <w:sz w:val="24"/>
        </w:rPr>
        <w:t xml:space="preserve"> at the ascending lower trend line.</w:t>
      </w:r>
    </w:p>
    <w:p w:rsidR="000D60CA" w:rsidRDefault="000D60CA" w:rsidP="000D60CA">
      <w:pPr>
        <w:pStyle w:val="ListParagraph"/>
        <w:numPr>
          <w:ilvl w:val="0"/>
          <w:numId w:val="13"/>
        </w:numPr>
        <w:jc w:val="both"/>
        <w:rPr>
          <w:sz w:val="24"/>
        </w:rPr>
      </w:pPr>
      <w:r>
        <w:rPr>
          <w:sz w:val="24"/>
        </w:rPr>
        <w:lastRenderedPageBreak/>
        <w:t>Touch (Touch/No Touch) with several broker platforms, using a price barrier that is located from 10 to 40 pips above the horizontal resistance boundary line of the ascending triangle.</w:t>
      </w:r>
    </w:p>
    <w:p w:rsidR="002D40FA" w:rsidRPr="002D40FA" w:rsidRDefault="002D40FA" w:rsidP="002D40FA">
      <w:pPr>
        <w:jc w:val="center"/>
        <w:rPr>
          <w:sz w:val="24"/>
        </w:rPr>
      </w:pPr>
      <w:r>
        <w:rPr>
          <w:noProof/>
          <w:sz w:val="24"/>
          <w:lang w:eastAsia="en-GB"/>
        </w:rPr>
        <w:drawing>
          <wp:inline distT="0" distB="0" distL="0" distR="0">
            <wp:extent cx="5327015" cy="2689860"/>
            <wp:effectExtent l="19050" t="0" r="6985" b="0"/>
            <wp:docPr id="1" name="Picture 1" descr="C:\Users\OLA\Desktop\adam\asc.triang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LA\Desktop\adam\asc.triangle.gif"/>
                    <pic:cNvPicPr>
                      <a:picLocks noChangeAspect="1" noChangeArrowheads="1"/>
                    </pic:cNvPicPr>
                  </pic:nvPicPr>
                  <pic:blipFill>
                    <a:blip r:embed="rId6" cstate="print"/>
                    <a:srcRect/>
                    <a:stretch>
                      <a:fillRect/>
                    </a:stretch>
                  </pic:blipFill>
                  <pic:spPr bwMode="auto">
                    <a:xfrm>
                      <a:off x="0" y="0"/>
                      <a:ext cx="5327015" cy="2689860"/>
                    </a:xfrm>
                    <a:prstGeom prst="rect">
                      <a:avLst/>
                    </a:prstGeom>
                    <a:noFill/>
                    <a:ln w="9525">
                      <a:noFill/>
                      <a:miter lim="800000"/>
                      <a:headEnd/>
                      <a:tailEnd/>
                    </a:ln>
                  </pic:spPr>
                </pic:pic>
              </a:graphicData>
            </a:graphic>
          </wp:inline>
        </w:drawing>
      </w:r>
    </w:p>
    <w:p w:rsidR="000D60CA" w:rsidRPr="000D60CA" w:rsidRDefault="000D60CA" w:rsidP="000D60CA">
      <w:pPr>
        <w:jc w:val="both"/>
        <w:rPr>
          <w:b/>
          <w:sz w:val="24"/>
        </w:rPr>
      </w:pPr>
      <w:r>
        <w:rPr>
          <w:b/>
          <w:sz w:val="24"/>
        </w:rPr>
        <w:t>De</w:t>
      </w:r>
      <w:r w:rsidRPr="000D60CA">
        <w:rPr>
          <w:b/>
          <w:sz w:val="24"/>
        </w:rPr>
        <w:t>scending Triangle</w:t>
      </w:r>
    </w:p>
    <w:p w:rsidR="000D60CA" w:rsidRDefault="000D60CA" w:rsidP="000D60CA">
      <w:pPr>
        <w:jc w:val="both"/>
        <w:rPr>
          <w:sz w:val="24"/>
        </w:rPr>
      </w:pPr>
      <w:r>
        <w:rPr>
          <w:sz w:val="24"/>
        </w:rPr>
        <w:t>The following binary options trade types are recommended with the descending triangle:</w:t>
      </w:r>
    </w:p>
    <w:p w:rsidR="000D60CA" w:rsidRDefault="000D60CA" w:rsidP="000D60CA">
      <w:pPr>
        <w:pStyle w:val="ListParagraph"/>
        <w:numPr>
          <w:ilvl w:val="0"/>
          <w:numId w:val="14"/>
        </w:numPr>
        <w:jc w:val="both"/>
        <w:rPr>
          <w:sz w:val="24"/>
        </w:rPr>
      </w:pPr>
      <w:r>
        <w:rPr>
          <w:sz w:val="24"/>
        </w:rPr>
        <w:t xml:space="preserve">DOWN (Up/Down on </w:t>
      </w:r>
      <w:proofErr w:type="spellStart"/>
      <w:r>
        <w:rPr>
          <w:sz w:val="24"/>
        </w:rPr>
        <w:t>SpotOption</w:t>
      </w:r>
      <w:proofErr w:type="spellEnd"/>
      <w:r>
        <w:rPr>
          <w:sz w:val="24"/>
        </w:rPr>
        <w:t xml:space="preserve"> partner brokers), FALL (rise/fall on </w:t>
      </w:r>
      <w:proofErr w:type="spellStart"/>
      <w:r>
        <w:rPr>
          <w:sz w:val="24"/>
        </w:rPr>
        <w:t>Betonmarkets</w:t>
      </w:r>
      <w:proofErr w:type="spellEnd"/>
      <w:r>
        <w:rPr>
          <w:sz w:val="24"/>
        </w:rPr>
        <w:t xml:space="preserve">), LOW (high/low on Tech Financial partner brokers) or BELOW (above/below). Use </w:t>
      </w:r>
      <w:r w:rsidR="003D3580">
        <w:rPr>
          <w:sz w:val="24"/>
        </w:rPr>
        <w:t>the market</w:t>
      </w:r>
      <w:r>
        <w:rPr>
          <w:sz w:val="24"/>
        </w:rPr>
        <w:t xml:space="preserve"> price </w:t>
      </w:r>
      <w:r w:rsidR="003D3580">
        <w:rPr>
          <w:sz w:val="24"/>
        </w:rPr>
        <w:t>as strike</w:t>
      </w:r>
      <w:r>
        <w:rPr>
          <w:sz w:val="24"/>
        </w:rPr>
        <w:t xml:space="preserve"> price </w:t>
      </w:r>
      <w:r w:rsidR="003D3580">
        <w:rPr>
          <w:sz w:val="24"/>
        </w:rPr>
        <w:t xml:space="preserve">when it is </w:t>
      </w:r>
      <w:r>
        <w:rPr>
          <w:sz w:val="24"/>
        </w:rPr>
        <w:t xml:space="preserve">at the </w:t>
      </w:r>
      <w:r w:rsidR="003D3580">
        <w:rPr>
          <w:sz w:val="24"/>
        </w:rPr>
        <w:t>des</w:t>
      </w:r>
      <w:r>
        <w:rPr>
          <w:sz w:val="24"/>
        </w:rPr>
        <w:t xml:space="preserve">cending </w:t>
      </w:r>
      <w:r w:rsidR="003D3580">
        <w:rPr>
          <w:sz w:val="24"/>
        </w:rPr>
        <w:t>upp</w:t>
      </w:r>
      <w:r>
        <w:rPr>
          <w:sz w:val="24"/>
        </w:rPr>
        <w:t>er trend line.</w:t>
      </w:r>
    </w:p>
    <w:p w:rsidR="000D60CA" w:rsidRDefault="000D60CA" w:rsidP="000D60CA">
      <w:pPr>
        <w:pStyle w:val="ListParagraph"/>
        <w:numPr>
          <w:ilvl w:val="0"/>
          <w:numId w:val="14"/>
        </w:numPr>
        <w:jc w:val="both"/>
        <w:rPr>
          <w:sz w:val="24"/>
        </w:rPr>
      </w:pPr>
      <w:r>
        <w:rPr>
          <w:sz w:val="24"/>
        </w:rPr>
        <w:t xml:space="preserve">Touch (Touch/No Touch) using a price barrier that is located from 10 to 40 pips </w:t>
      </w:r>
      <w:r w:rsidR="003D3580">
        <w:rPr>
          <w:sz w:val="24"/>
        </w:rPr>
        <w:t>below</w:t>
      </w:r>
      <w:r>
        <w:rPr>
          <w:sz w:val="24"/>
        </w:rPr>
        <w:t xml:space="preserve"> the horizontal </w:t>
      </w:r>
      <w:r w:rsidR="003D3580">
        <w:rPr>
          <w:sz w:val="24"/>
        </w:rPr>
        <w:t>support boundary line of the de</w:t>
      </w:r>
      <w:r>
        <w:rPr>
          <w:sz w:val="24"/>
        </w:rPr>
        <w:t>scending triangle.</w:t>
      </w:r>
    </w:p>
    <w:p w:rsidR="003D3580" w:rsidRDefault="003D3580" w:rsidP="000D60CA">
      <w:pPr>
        <w:pStyle w:val="ListParagraph"/>
        <w:numPr>
          <w:ilvl w:val="0"/>
          <w:numId w:val="14"/>
        </w:numPr>
        <w:jc w:val="both"/>
        <w:rPr>
          <w:sz w:val="24"/>
        </w:rPr>
      </w:pPr>
      <w:r>
        <w:rPr>
          <w:sz w:val="24"/>
        </w:rPr>
        <w:t>No Touch (Touch/No Touch) using a strike price above the falling resistance (upper boundary) line.</w:t>
      </w:r>
    </w:p>
    <w:p w:rsidR="0087537B" w:rsidRDefault="0087537B" w:rsidP="0087537B">
      <w:pPr>
        <w:pStyle w:val="ListParagraph"/>
        <w:jc w:val="center"/>
        <w:rPr>
          <w:sz w:val="24"/>
        </w:rPr>
      </w:pPr>
    </w:p>
    <w:p w:rsidR="0087537B" w:rsidRDefault="0087537B" w:rsidP="0087537B">
      <w:pPr>
        <w:pStyle w:val="ListParagraph"/>
        <w:jc w:val="center"/>
        <w:rPr>
          <w:sz w:val="24"/>
        </w:rPr>
      </w:pPr>
      <w:r>
        <w:rPr>
          <w:noProof/>
          <w:sz w:val="24"/>
          <w:lang w:eastAsia="en-GB"/>
        </w:rPr>
        <w:drawing>
          <wp:inline distT="0" distB="0" distL="0" distR="0">
            <wp:extent cx="5731510" cy="2408599"/>
            <wp:effectExtent l="19050" t="0" r="2540" b="0"/>
            <wp:docPr id="5" name="Picture 5" descr="C:\Users\OLA\Desktop\adam\des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LA\Desktop\adam\desc.gif"/>
                    <pic:cNvPicPr>
                      <a:picLocks noChangeAspect="1" noChangeArrowheads="1"/>
                    </pic:cNvPicPr>
                  </pic:nvPicPr>
                  <pic:blipFill>
                    <a:blip r:embed="rId7" cstate="print"/>
                    <a:srcRect/>
                    <a:stretch>
                      <a:fillRect/>
                    </a:stretch>
                  </pic:blipFill>
                  <pic:spPr bwMode="auto">
                    <a:xfrm>
                      <a:off x="0" y="0"/>
                      <a:ext cx="5731510" cy="2408599"/>
                    </a:xfrm>
                    <a:prstGeom prst="rect">
                      <a:avLst/>
                    </a:prstGeom>
                    <a:noFill/>
                    <a:ln w="9525">
                      <a:noFill/>
                      <a:miter lim="800000"/>
                      <a:headEnd/>
                      <a:tailEnd/>
                    </a:ln>
                  </pic:spPr>
                </pic:pic>
              </a:graphicData>
            </a:graphic>
          </wp:inline>
        </w:drawing>
      </w:r>
    </w:p>
    <w:p w:rsidR="0087537B" w:rsidRDefault="0087537B" w:rsidP="003D3580">
      <w:pPr>
        <w:jc w:val="both"/>
        <w:rPr>
          <w:b/>
          <w:sz w:val="24"/>
        </w:rPr>
      </w:pPr>
    </w:p>
    <w:p w:rsidR="003D3580" w:rsidRPr="003D3580" w:rsidRDefault="003D3580" w:rsidP="003D3580">
      <w:pPr>
        <w:jc w:val="both"/>
        <w:rPr>
          <w:b/>
          <w:sz w:val="24"/>
        </w:rPr>
      </w:pPr>
      <w:r w:rsidRPr="003D3580">
        <w:rPr>
          <w:b/>
          <w:sz w:val="24"/>
        </w:rPr>
        <w:lastRenderedPageBreak/>
        <w:t>Symmetrical Triangle</w:t>
      </w:r>
    </w:p>
    <w:p w:rsidR="003D3580" w:rsidRDefault="00741078" w:rsidP="003D3580">
      <w:pPr>
        <w:jc w:val="both"/>
        <w:rPr>
          <w:sz w:val="24"/>
        </w:rPr>
      </w:pPr>
      <w:r>
        <w:rPr>
          <w:sz w:val="24"/>
        </w:rPr>
        <w:t>In binary options trading, trading symmetrical triangle is tricky as</w:t>
      </w:r>
      <w:r w:rsidR="003D3580">
        <w:rPr>
          <w:sz w:val="24"/>
        </w:rPr>
        <w:t xml:space="preserve"> price can breakout either way. However, the price action will bounce off both the resistance and support lines in succession before the price will breakout either to the upside or downside as the price approaches the point of convergence. The safest trade will be to use either the support or resistance boundaries of the triangle as “Touch” points while the price is far from convergence. </w:t>
      </w:r>
    </w:p>
    <w:p w:rsidR="002D40FA" w:rsidRDefault="003D3580" w:rsidP="003D3580">
      <w:pPr>
        <w:jc w:val="both"/>
        <w:rPr>
          <w:sz w:val="24"/>
        </w:rPr>
      </w:pPr>
      <w:r w:rsidRPr="003D3580">
        <w:rPr>
          <w:sz w:val="24"/>
        </w:rPr>
        <w:t xml:space="preserve"> </w:t>
      </w:r>
    </w:p>
    <w:sectPr w:rsidR="002D40FA" w:rsidSect="002D3B6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269B7"/>
    <w:multiLevelType w:val="hybridMultilevel"/>
    <w:tmpl w:val="E1F8A1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70520E"/>
    <w:multiLevelType w:val="hybridMultilevel"/>
    <w:tmpl w:val="35A8F516"/>
    <w:lvl w:ilvl="0" w:tplc="77EE756C">
      <w:start w:val="1"/>
      <w:numFmt w:val="bullet"/>
      <w:lvlText w:val="-"/>
      <w:lvlJc w:val="left"/>
      <w:pPr>
        <w:ind w:left="720" w:hanging="360"/>
      </w:pPr>
      <w:rPr>
        <w:rFonts w:ascii="Calibri" w:eastAsiaTheme="minorHAnsi" w:hAnsi="Calibri" w:cstheme="minorBid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02B3BA3"/>
    <w:multiLevelType w:val="hybridMultilevel"/>
    <w:tmpl w:val="3CC835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2A26494"/>
    <w:multiLevelType w:val="hybridMultilevel"/>
    <w:tmpl w:val="C6A419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F07B36"/>
    <w:multiLevelType w:val="hybridMultilevel"/>
    <w:tmpl w:val="1532A460"/>
    <w:lvl w:ilvl="0" w:tplc="77EE756C">
      <w:start w:val="1"/>
      <w:numFmt w:val="bullet"/>
      <w:lvlText w:val="-"/>
      <w:lvlJc w:val="left"/>
      <w:pPr>
        <w:ind w:left="720" w:hanging="360"/>
      </w:pPr>
      <w:rPr>
        <w:rFonts w:ascii="Calibri" w:eastAsiaTheme="minorHAnsi" w:hAnsi="Calibri" w:cstheme="minorBid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6AF31DC"/>
    <w:multiLevelType w:val="hybridMultilevel"/>
    <w:tmpl w:val="FBD854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7E7996"/>
    <w:multiLevelType w:val="hybridMultilevel"/>
    <w:tmpl w:val="751656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F503EBD"/>
    <w:multiLevelType w:val="hybridMultilevel"/>
    <w:tmpl w:val="E214A8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D5469A"/>
    <w:multiLevelType w:val="hybridMultilevel"/>
    <w:tmpl w:val="C6A419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23095A"/>
    <w:multiLevelType w:val="hybridMultilevel"/>
    <w:tmpl w:val="359646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3061CC"/>
    <w:multiLevelType w:val="hybridMultilevel"/>
    <w:tmpl w:val="972023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2E2249"/>
    <w:multiLevelType w:val="hybridMultilevel"/>
    <w:tmpl w:val="765AF8C0"/>
    <w:lvl w:ilvl="0" w:tplc="CDB2BA6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1537B4"/>
    <w:multiLevelType w:val="hybridMultilevel"/>
    <w:tmpl w:val="5F7A26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3D11FA"/>
    <w:multiLevelType w:val="hybridMultilevel"/>
    <w:tmpl w:val="2460EA02"/>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766C6A44"/>
    <w:multiLevelType w:val="hybridMultilevel"/>
    <w:tmpl w:val="D724F854"/>
    <w:lvl w:ilvl="0" w:tplc="893068F4">
      <w:start w:val="1"/>
      <w:numFmt w:val="bullet"/>
      <w:lvlText w:val="-"/>
      <w:lvlJc w:val="left"/>
      <w:pPr>
        <w:ind w:left="720" w:hanging="360"/>
      </w:pPr>
      <w:rPr>
        <w:rFonts w:ascii="Calibri" w:eastAsia="Times New Roman" w:hAnsi="Calibri" w:cs="Calibri"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
  </w:num>
  <w:num w:numId="9">
    <w:abstractNumId w:val="7"/>
  </w:num>
  <w:num w:numId="10">
    <w:abstractNumId w:val="12"/>
  </w:num>
  <w:num w:numId="11">
    <w:abstractNumId w:val="9"/>
  </w:num>
  <w:num w:numId="12">
    <w:abstractNumId w:val="11"/>
  </w:num>
  <w:num w:numId="13">
    <w:abstractNumId w:val="3"/>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2"/>
  </w:compat>
  <w:rsids>
    <w:rsidRoot w:val="00F41FFB"/>
    <w:rsid w:val="00023E65"/>
    <w:rsid w:val="0004198B"/>
    <w:rsid w:val="00044CF8"/>
    <w:rsid w:val="00072C64"/>
    <w:rsid w:val="000838A0"/>
    <w:rsid w:val="000A6252"/>
    <w:rsid w:val="000C5F1A"/>
    <w:rsid w:val="000D60CA"/>
    <w:rsid w:val="00113CAC"/>
    <w:rsid w:val="00121EEB"/>
    <w:rsid w:val="00150533"/>
    <w:rsid w:val="00165AB9"/>
    <w:rsid w:val="00181288"/>
    <w:rsid w:val="001922D8"/>
    <w:rsid w:val="0019625D"/>
    <w:rsid w:val="001B1639"/>
    <w:rsid w:val="001E4A7E"/>
    <w:rsid w:val="001F7A64"/>
    <w:rsid w:val="00213B8E"/>
    <w:rsid w:val="00237B6D"/>
    <w:rsid w:val="00252F0C"/>
    <w:rsid w:val="00261291"/>
    <w:rsid w:val="00271701"/>
    <w:rsid w:val="002B50D4"/>
    <w:rsid w:val="002B6491"/>
    <w:rsid w:val="002D16B4"/>
    <w:rsid w:val="002D296B"/>
    <w:rsid w:val="002D40FA"/>
    <w:rsid w:val="002D433B"/>
    <w:rsid w:val="00313E06"/>
    <w:rsid w:val="00333C1E"/>
    <w:rsid w:val="00340757"/>
    <w:rsid w:val="00350BBD"/>
    <w:rsid w:val="0035554B"/>
    <w:rsid w:val="0036045A"/>
    <w:rsid w:val="0039370A"/>
    <w:rsid w:val="003A2F68"/>
    <w:rsid w:val="003D3580"/>
    <w:rsid w:val="003E261E"/>
    <w:rsid w:val="003F65CF"/>
    <w:rsid w:val="004171D2"/>
    <w:rsid w:val="00426744"/>
    <w:rsid w:val="004548FD"/>
    <w:rsid w:val="0046322C"/>
    <w:rsid w:val="004955E2"/>
    <w:rsid w:val="00497242"/>
    <w:rsid w:val="004B54F7"/>
    <w:rsid w:val="004C00D9"/>
    <w:rsid w:val="004C39C6"/>
    <w:rsid w:val="004C6998"/>
    <w:rsid w:val="004D0A53"/>
    <w:rsid w:val="004D7FCC"/>
    <w:rsid w:val="004E1E07"/>
    <w:rsid w:val="004F1EB5"/>
    <w:rsid w:val="004F61F8"/>
    <w:rsid w:val="00530536"/>
    <w:rsid w:val="0056566E"/>
    <w:rsid w:val="005675F1"/>
    <w:rsid w:val="00577050"/>
    <w:rsid w:val="00585B6D"/>
    <w:rsid w:val="0059280E"/>
    <w:rsid w:val="00595921"/>
    <w:rsid w:val="005A7A18"/>
    <w:rsid w:val="005B0ECA"/>
    <w:rsid w:val="005D0FAE"/>
    <w:rsid w:val="005D54B5"/>
    <w:rsid w:val="005D5EEA"/>
    <w:rsid w:val="00601FA9"/>
    <w:rsid w:val="00605A35"/>
    <w:rsid w:val="0061167F"/>
    <w:rsid w:val="0061580A"/>
    <w:rsid w:val="00620854"/>
    <w:rsid w:val="00621124"/>
    <w:rsid w:val="00652966"/>
    <w:rsid w:val="00672858"/>
    <w:rsid w:val="0073263E"/>
    <w:rsid w:val="00741078"/>
    <w:rsid w:val="00741D0A"/>
    <w:rsid w:val="00741E54"/>
    <w:rsid w:val="00796366"/>
    <w:rsid w:val="007C1F31"/>
    <w:rsid w:val="007D448E"/>
    <w:rsid w:val="007F1269"/>
    <w:rsid w:val="008006CD"/>
    <w:rsid w:val="0080402C"/>
    <w:rsid w:val="00820363"/>
    <w:rsid w:val="0087537B"/>
    <w:rsid w:val="00881166"/>
    <w:rsid w:val="00882C6E"/>
    <w:rsid w:val="008A7766"/>
    <w:rsid w:val="008C3174"/>
    <w:rsid w:val="008E1F9E"/>
    <w:rsid w:val="008F4285"/>
    <w:rsid w:val="00947A7F"/>
    <w:rsid w:val="009726E7"/>
    <w:rsid w:val="00980DDB"/>
    <w:rsid w:val="00984E4D"/>
    <w:rsid w:val="00993E4A"/>
    <w:rsid w:val="00995E6F"/>
    <w:rsid w:val="009A0628"/>
    <w:rsid w:val="009B107E"/>
    <w:rsid w:val="009F3D0F"/>
    <w:rsid w:val="009F3FDB"/>
    <w:rsid w:val="00A011C3"/>
    <w:rsid w:val="00A14A42"/>
    <w:rsid w:val="00A30557"/>
    <w:rsid w:val="00A7395B"/>
    <w:rsid w:val="00A73AB3"/>
    <w:rsid w:val="00A878FD"/>
    <w:rsid w:val="00A9159A"/>
    <w:rsid w:val="00A97413"/>
    <w:rsid w:val="00AA1117"/>
    <w:rsid w:val="00AA7B4E"/>
    <w:rsid w:val="00AB2E4C"/>
    <w:rsid w:val="00AB3F92"/>
    <w:rsid w:val="00AC6AAC"/>
    <w:rsid w:val="00AF1FA6"/>
    <w:rsid w:val="00B16F08"/>
    <w:rsid w:val="00B53242"/>
    <w:rsid w:val="00B76180"/>
    <w:rsid w:val="00B90658"/>
    <w:rsid w:val="00B9488A"/>
    <w:rsid w:val="00BD485C"/>
    <w:rsid w:val="00BD7AA6"/>
    <w:rsid w:val="00BE3043"/>
    <w:rsid w:val="00C354EA"/>
    <w:rsid w:val="00C43C91"/>
    <w:rsid w:val="00C50DF4"/>
    <w:rsid w:val="00C57E6F"/>
    <w:rsid w:val="00C615F3"/>
    <w:rsid w:val="00C70208"/>
    <w:rsid w:val="00C82B14"/>
    <w:rsid w:val="00CA38A5"/>
    <w:rsid w:val="00CB6F39"/>
    <w:rsid w:val="00CC44FD"/>
    <w:rsid w:val="00CD058F"/>
    <w:rsid w:val="00CD0ED9"/>
    <w:rsid w:val="00CF3B62"/>
    <w:rsid w:val="00CF7658"/>
    <w:rsid w:val="00D062B2"/>
    <w:rsid w:val="00D46669"/>
    <w:rsid w:val="00D61EC4"/>
    <w:rsid w:val="00D95EA2"/>
    <w:rsid w:val="00D96CEF"/>
    <w:rsid w:val="00DA54EA"/>
    <w:rsid w:val="00DA6270"/>
    <w:rsid w:val="00DB00D5"/>
    <w:rsid w:val="00DC162E"/>
    <w:rsid w:val="00DC4A95"/>
    <w:rsid w:val="00DE378D"/>
    <w:rsid w:val="00E25968"/>
    <w:rsid w:val="00E44B12"/>
    <w:rsid w:val="00E6687D"/>
    <w:rsid w:val="00E82748"/>
    <w:rsid w:val="00E90AE5"/>
    <w:rsid w:val="00EE6005"/>
    <w:rsid w:val="00EF3B0E"/>
    <w:rsid w:val="00F112A6"/>
    <w:rsid w:val="00F13D7A"/>
    <w:rsid w:val="00F15310"/>
    <w:rsid w:val="00F4152C"/>
    <w:rsid w:val="00F41FFB"/>
    <w:rsid w:val="00F42374"/>
    <w:rsid w:val="00F863CB"/>
    <w:rsid w:val="00F92E8D"/>
    <w:rsid w:val="00FD1740"/>
    <w:rsid w:val="00FE5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4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F41FFB"/>
  </w:style>
  <w:style w:type="character" w:customStyle="1" w:styleId="apple-converted-space">
    <w:name w:val="apple-converted-space"/>
    <w:basedOn w:val="DefaultParagraphFont"/>
    <w:rsid w:val="004F61F8"/>
  </w:style>
  <w:style w:type="character" w:styleId="Hyperlink">
    <w:name w:val="Hyperlink"/>
    <w:basedOn w:val="DefaultParagraphFont"/>
    <w:uiPriority w:val="99"/>
    <w:semiHidden/>
    <w:unhideWhenUsed/>
    <w:rsid w:val="004F61F8"/>
    <w:rPr>
      <w:color w:val="0000FF"/>
      <w:u w:val="single"/>
    </w:rPr>
  </w:style>
  <w:style w:type="paragraph" w:styleId="BalloonText">
    <w:name w:val="Balloon Text"/>
    <w:basedOn w:val="Normal"/>
    <w:link w:val="BalloonTextChar"/>
    <w:uiPriority w:val="99"/>
    <w:semiHidden/>
    <w:unhideWhenUsed/>
    <w:rsid w:val="00F13D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D7A"/>
    <w:rPr>
      <w:rFonts w:ascii="Tahoma" w:hAnsi="Tahoma" w:cs="Tahoma"/>
      <w:sz w:val="16"/>
      <w:szCs w:val="16"/>
    </w:rPr>
  </w:style>
  <w:style w:type="paragraph" w:styleId="NormalWeb">
    <w:name w:val="Normal (Web)"/>
    <w:basedOn w:val="Normal"/>
    <w:uiPriority w:val="99"/>
    <w:semiHidden/>
    <w:unhideWhenUsed/>
    <w:rsid w:val="0062112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2D29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113270">
      <w:bodyDiv w:val="1"/>
      <w:marLeft w:val="0"/>
      <w:marRight w:val="0"/>
      <w:marTop w:val="0"/>
      <w:marBottom w:val="0"/>
      <w:divBdr>
        <w:top w:val="none" w:sz="0" w:space="0" w:color="auto"/>
        <w:left w:val="none" w:sz="0" w:space="0" w:color="auto"/>
        <w:bottom w:val="none" w:sz="0" w:space="0" w:color="auto"/>
        <w:right w:val="none" w:sz="0" w:space="0" w:color="auto"/>
      </w:divBdr>
    </w:div>
    <w:div w:id="1274288025">
      <w:bodyDiv w:val="1"/>
      <w:marLeft w:val="0"/>
      <w:marRight w:val="0"/>
      <w:marTop w:val="0"/>
      <w:marBottom w:val="0"/>
      <w:divBdr>
        <w:top w:val="none" w:sz="0" w:space="0" w:color="auto"/>
        <w:left w:val="none" w:sz="0" w:space="0" w:color="auto"/>
        <w:bottom w:val="none" w:sz="0" w:space="0" w:color="auto"/>
        <w:right w:val="none" w:sz="0" w:space="0" w:color="auto"/>
      </w:divBdr>
    </w:div>
    <w:div w:id="161555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323</TotalTime>
  <Pages>3</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pc</Company>
  <LinksUpToDate>false</LinksUpToDate>
  <CharactersWithSpaces>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7</cp:revision>
  <dcterms:created xsi:type="dcterms:W3CDTF">2012-09-30T18:47:00Z</dcterms:created>
  <dcterms:modified xsi:type="dcterms:W3CDTF">2012-10-08T14:39:00Z</dcterms:modified>
</cp:coreProperties>
</file>